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0FD0C3" w14:textId="73E75008" w:rsidR="00552E6F" w:rsidRPr="00552E6F" w:rsidRDefault="00552E6F" w:rsidP="0042072B">
      <w:pPr>
        <w:spacing w:line="240" w:lineRule="auto"/>
        <w:jc w:val="center"/>
        <w:rPr>
          <w:rFonts w:ascii="Times New Roman" w:eastAsia="Calibri" w:hAnsi="Times New Roman" w:cs="Times New Roman"/>
          <w:b/>
          <w:bCs/>
          <w:sz w:val="24"/>
          <w:szCs w:val="24"/>
          <w:lang w:val="pl-PL"/>
        </w:rPr>
      </w:pPr>
      <w:bookmarkStart w:id="0" w:name="_GoBack"/>
      <w:bookmarkEnd w:id="0"/>
      <w:r w:rsidRPr="00552E6F">
        <w:rPr>
          <w:rFonts w:ascii="Times New Roman" w:eastAsia="Calibri" w:hAnsi="Times New Roman" w:cs="Times New Roman"/>
          <w:b/>
          <w:bCs/>
          <w:sz w:val="24"/>
          <w:szCs w:val="24"/>
          <w:lang w:val="pl-PL"/>
        </w:rPr>
        <w:t>mgr Alicja Fischer – Ojcowski Park Narodowy, Ojców 9 32-045 Sułoszowa</w:t>
      </w:r>
    </w:p>
    <w:p w14:paraId="16C8987E" w14:textId="6126546D" w:rsidR="00552E6F" w:rsidRPr="00552E6F" w:rsidRDefault="0042072B" w:rsidP="0042072B">
      <w:pPr>
        <w:spacing w:line="240" w:lineRule="auto"/>
        <w:jc w:val="center"/>
        <w:rPr>
          <w:rFonts w:ascii="Times New Roman" w:eastAsia="Calibri" w:hAnsi="Times New Roman" w:cs="Times New Roman"/>
          <w:b/>
          <w:sz w:val="24"/>
          <w:szCs w:val="24"/>
          <w:lang w:val="pl-PL"/>
        </w:rPr>
      </w:pPr>
      <w:r w:rsidRPr="00552E6F">
        <w:rPr>
          <w:rFonts w:ascii="Times New Roman" w:eastAsia="Calibri" w:hAnsi="Times New Roman" w:cs="Times New Roman"/>
          <w:b/>
          <w:sz w:val="24"/>
          <w:szCs w:val="24"/>
          <w:lang w:val="pl-PL"/>
        </w:rPr>
        <w:t>INTERPRETACJA DZIEDZICTWA JAKO METODA ANGAŻOWANIA SPOŁECZNOŚCI LOKALNYCH</w:t>
      </w:r>
    </w:p>
    <w:p w14:paraId="288ED079" w14:textId="77777777" w:rsidR="00552E6F" w:rsidRPr="00552E6F" w:rsidRDefault="00552E6F" w:rsidP="0042072B">
      <w:pPr>
        <w:spacing w:line="240" w:lineRule="auto"/>
        <w:ind w:left="5664"/>
        <w:jc w:val="center"/>
        <w:rPr>
          <w:rFonts w:ascii="Times New Roman" w:eastAsia="Calibri" w:hAnsi="Times New Roman" w:cs="Times New Roman"/>
          <w:i/>
          <w:iCs/>
          <w:sz w:val="24"/>
          <w:szCs w:val="24"/>
          <w:lang w:val="pl-PL"/>
        </w:rPr>
      </w:pPr>
    </w:p>
    <w:p w14:paraId="09E07C5D" w14:textId="67CABA5C" w:rsidR="00552E6F" w:rsidRPr="00996821" w:rsidRDefault="00552E6F" w:rsidP="0042072B">
      <w:pPr>
        <w:spacing w:after="0" w:line="240" w:lineRule="auto"/>
        <w:jc w:val="center"/>
        <w:rPr>
          <w:rFonts w:ascii="Times New Roman" w:eastAsia="Calibri" w:hAnsi="Times New Roman" w:cs="Times New Roman"/>
          <w:iCs/>
          <w:lang w:val="pl-PL"/>
        </w:rPr>
      </w:pPr>
      <w:r w:rsidRPr="00996821">
        <w:rPr>
          <w:rFonts w:ascii="Times New Roman" w:eastAsia="Calibri" w:hAnsi="Times New Roman" w:cs="Times New Roman"/>
          <w:iCs/>
          <w:lang w:val="pl-PL"/>
        </w:rPr>
        <w:t>STRESZCZENIE</w:t>
      </w:r>
    </w:p>
    <w:p w14:paraId="675C5494" w14:textId="77777777" w:rsidR="0042072B" w:rsidRPr="00996821" w:rsidRDefault="0042072B" w:rsidP="0042072B">
      <w:pPr>
        <w:spacing w:after="0" w:line="240" w:lineRule="auto"/>
        <w:jc w:val="both"/>
        <w:rPr>
          <w:rFonts w:ascii="Times New Roman" w:eastAsia="Calibri" w:hAnsi="Times New Roman" w:cs="Times New Roman"/>
          <w:iCs/>
          <w:lang w:val="pl-PL"/>
        </w:rPr>
      </w:pPr>
    </w:p>
    <w:p w14:paraId="040FBD6D" w14:textId="194AF934" w:rsidR="00552E6F" w:rsidRPr="00996821" w:rsidRDefault="00552E6F" w:rsidP="0042072B">
      <w:pPr>
        <w:spacing w:line="240" w:lineRule="auto"/>
        <w:ind w:firstLine="708"/>
        <w:jc w:val="both"/>
        <w:rPr>
          <w:rFonts w:ascii="Times New Roman" w:eastAsia="Calibri" w:hAnsi="Times New Roman" w:cs="Times New Roman"/>
          <w:lang w:val="pl-PL"/>
        </w:rPr>
      </w:pPr>
      <w:r w:rsidRPr="00996821">
        <w:rPr>
          <w:rFonts w:ascii="Times New Roman" w:eastAsia="Calibri" w:hAnsi="Times New Roman" w:cs="Times New Roman"/>
          <w:lang w:val="pl-PL"/>
        </w:rPr>
        <w:t xml:space="preserve">Parki narodowe są jednym z najważniejszych miejsc dziedzictwa, zarówno przyrodniczego jak i kulturowego, jednocześnie stanowiąc przykład dziedzictwa wrażliwego. Celem niniejszego artykułu jest wskazanie możliwości zaangażowania społeczności lokalnych poprzez wykorzystanie podejścia interpretacyjnego. Jednym z zadań osób pracujących w parkach narodowych czy muzeach jest „ożywienie” zasobów, tak by stały się one znaczące dla odbiorców i aby również oni chcieli otoczyć je troską. </w:t>
      </w:r>
      <w:r w:rsidRPr="00996821">
        <w:rPr>
          <w:rFonts w:ascii="Times New Roman" w:eastAsia="Calibri" w:hAnsi="Times New Roman" w:cs="Times New Roman"/>
          <w:lang w:val="pl-PL" w:eastAsia="pl-PL"/>
        </w:rPr>
        <w:t xml:space="preserve">Interpretacja, jako jedna z metod komunikacji, jest narzędziem wspierającym ten proces. </w:t>
      </w:r>
      <w:r w:rsidRPr="00996821">
        <w:rPr>
          <w:rFonts w:ascii="Times New Roman" w:eastAsia="Calibri" w:hAnsi="Times New Roman" w:cs="Times New Roman"/>
          <w:lang w:val="pl-PL"/>
        </w:rPr>
        <w:t>Społeczność lokalna jest szczególną grupą odbiorców. Osoby, które na co dzień obcują z danym miejscem, mogą w pewnym momencie utracić rzeczywisty kontakt z dziedzictwem, staje się ono wręcz „niewidzialne”. Angażowanie mieszkańców poprzez interpretację może działać dwuetapowo. Pozwala na skuteczniejsze dotarcie do tej grupy poprzez przystępne udostępnienie treści oraz umożliwia wykorzystanie jej potencjału przez włączenie do działań związanych z tworzeniem planów interpretacyjnych. Pośród zadań parków narodowych edukacja czy interpretacja jest nie tylko aktywnością ukierunkowaną</w:t>
      </w:r>
      <w:r w:rsidR="00C3449A" w:rsidRPr="00996821">
        <w:rPr>
          <w:rFonts w:ascii="Times New Roman" w:eastAsia="Calibri" w:hAnsi="Times New Roman" w:cs="Times New Roman"/>
        </w:rPr>
        <w:t xml:space="preserve"> </w:t>
      </w:r>
      <w:r w:rsidRPr="00996821">
        <w:rPr>
          <w:rFonts w:ascii="Times New Roman" w:eastAsia="Calibri" w:hAnsi="Times New Roman" w:cs="Times New Roman"/>
          <w:lang w:val="pl-PL"/>
        </w:rPr>
        <w:t xml:space="preserve">na odbiorców, ale wpisuje się w szeroko rozumianą działalność konserwatorską. </w:t>
      </w:r>
    </w:p>
    <w:p w14:paraId="1682CCD1" w14:textId="676E0482" w:rsidR="00552E6F" w:rsidRPr="00996821" w:rsidRDefault="00552E6F" w:rsidP="0042072B">
      <w:pPr>
        <w:spacing w:line="240" w:lineRule="auto"/>
        <w:jc w:val="both"/>
        <w:rPr>
          <w:rFonts w:ascii="Times New Roman" w:eastAsia="Calibri" w:hAnsi="Times New Roman" w:cs="Times New Roman"/>
          <w:i/>
          <w:iCs/>
        </w:rPr>
      </w:pPr>
      <w:r w:rsidRPr="00996821">
        <w:rPr>
          <w:rFonts w:ascii="Times New Roman" w:eastAsia="Calibri" w:hAnsi="Times New Roman" w:cs="Times New Roman"/>
          <w:i/>
          <w:iCs/>
          <w:lang w:val="pl-PL"/>
        </w:rPr>
        <w:t>Słowa kluczowe: interpretacja, dziedzictwo, parki narodowe, ochrona, komunikacja</w:t>
      </w:r>
      <w:r w:rsidR="0042072B" w:rsidRPr="00996821">
        <w:rPr>
          <w:rFonts w:ascii="Times New Roman" w:eastAsia="Calibri" w:hAnsi="Times New Roman" w:cs="Times New Roman"/>
          <w:i/>
          <w:iCs/>
        </w:rPr>
        <w:t>….</w:t>
      </w:r>
    </w:p>
    <w:p w14:paraId="2FA20E7E" w14:textId="77777777" w:rsidR="0042072B" w:rsidRPr="00996821" w:rsidRDefault="0042072B" w:rsidP="0042072B">
      <w:pPr>
        <w:spacing w:after="0" w:line="240" w:lineRule="auto"/>
        <w:jc w:val="center"/>
        <w:rPr>
          <w:rFonts w:ascii="Times New Roman" w:eastAsia="Calibri" w:hAnsi="Times New Roman" w:cs="Times New Roman"/>
          <w:iCs/>
          <w:lang w:val="en-US"/>
        </w:rPr>
      </w:pPr>
    </w:p>
    <w:p w14:paraId="32F83662" w14:textId="70BA5682" w:rsidR="00552E6F" w:rsidRPr="00996821" w:rsidRDefault="00552E6F" w:rsidP="0042072B">
      <w:pPr>
        <w:spacing w:after="0" w:line="240" w:lineRule="auto"/>
        <w:jc w:val="center"/>
        <w:rPr>
          <w:rFonts w:ascii="Times New Roman" w:eastAsia="Calibri" w:hAnsi="Times New Roman" w:cs="Times New Roman"/>
          <w:iCs/>
          <w:lang w:val="en-US"/>
        </w:rPr>
      </w:pPr>
      <w:r w:rsidRPr="00996821">
        <w:rPr>
          <w:rFonts w:ascii="Times New Roman" w:eastAsia="Calibri" w:hAnsi="Times New Roman" w:cs="Times New Roman"/>
          <w:iCs/>
          <w:lang w:val="en-US"/>
        </w:rPr>
        <w:t>ABSTRACT</w:t>
      </w:r>
    </w:p>
    <w:p w14:paraId="3795B1C9" w14:textId="77777777" w:rsidR="00A810FA" w:rsidRPr="00996821" w:rsidRDefault="00A810FA" w:rsidP="0042072B">
      <w:pPr>
        <w:spacing w:after="0" w:line="240" w:lineRule="auto"/>
        <w:jc w:val="center"/>
        <w:rPr>
          <w:rFonts w:ascii="Times New Roman" w:eastAsia="Calibri" w:hAnsi="Times New Roman" w:cs="Times New Roman"/>
          <w:iCs/>
          <w:lang w:val="en-US"/>
        </w:rPr>
      </w:pPr>
    </w:p>
    <w:p w14:paraId="774B19E0" w14:textId="5965ACE6" w:rsidR="00552E6F" w:rsidRPr="00996821" w:rsidRDefault="00552E6F" w:rsidP="0042072B">
      <w:pPr>
        <w:spacing w:line="240" w:lineRule="auto"/>
        <w:ind w:firstLine="708"/>
        <w:jc w:val="both"/>
        <w:rPr>
          <w:rFonts w:ascii="Times New Roman" w:eastAsia="Calibri" w:hAnsi="Times New Roman" w:cs="Times New Roman"/>
          <w:iCs/>
          <w:lang w:val="en-US"/>
        </w:rPr>
      </w:pPr>
      <w:r w:rsidRPr="00996821">
        <w:rPr>
          <w:rFonts w:ascii="Times New Roman" w:eastAsia="Calibri" w:hAnsi="Times New Roman" w:cs="Times New Roman"/>
          <w:iCs/>
          <w:lang w:val="en-US"/>
        </w:rPr>
        <w:t>National parks are one of the most important heritage sites, both natural and cultural, while at the same time are an example of a sensitive heritage. The purpose of this article is to indicate the possibility of engaging local communities through the interpretive approach. One of the main tasks of people working in national parks or museums is to “bring heritage to life” so that it becomes significant for visitors and they want to care about. Interpretation, as one of the methods of communication, is a tool supporting this process. The local community is a special group of viewers. People who live at the place may at some point lose actual contact with their heritage, it becomes even "invisible". The involvement of residents through interpretation can work in two ways. It allows for more effective reaching the group through intelligible access to content and enables the use of community potential by involvement in the creation of interpretive plans. Among the tasks of national parks, education or interpretation is not only activity directed at viewers but is a part of the broadly understood conservation issue.</w:t>
      </w:r>
    </w:p>
    <w:p w14:paraId="172CA322" w14:textId="65431629" w:rsidR="00552E6F" w:rsidRPr="00996821" w:rsidRDefault="00552E6F" w:rsidP="0042072B">
      <w:pPr>
        <w:spacing w:line="240" w:lineRule="auto"/>
        <w:jc w:val="both"/>
        <w:rPr>
          <w:rFonts w:ascii="Times New Roman" w:eastAsia="Calibri" w:hAnsi="Times New Roman" w:cs="Times New Roman"/>
          <w:i/>
        </w:rPr>
      </w:pPr>
      <w:r w:rsidRPr="00996821">
        <w:rPr>
          <w:rFonts w:ascii="Times New Roman" w:eastAsia="Calibri" w:hAnsi="Times New Roman" w:cs="Times New Roman"/>
          <w:i/>
          <w:lang w:val="en-US"/>
        </w:rPr>
        <w:t>Key words: interpretation, heritage, national parks, protection, communication</w:t>
      </w:r>
      <w:r w:rsidR="0042072B" w:rsidRPr="00996821">
        <w:rPr>
          <w:rFonts w:ascii="Times New Roman" w:eastAsia="Calibri" w:hAnsi="Times New Roman" w:cs="Times New Roman"/>
          <w:i/>
        </w:rPr>
        <w:t>…</w:t>
      </w:r>
    </w:p>
    <w:p w14:paraId="1E12C5A9" w14:textId="77777777" w:rsidR="0042072B" w:rsidRDefault="0042072B" w:rsidP="0042072B">
      <w:pPr>
        <w:autoSpaceDE w:val="0"/>
        <w:autoSpaceDN w:val="0"/>
        <w:adjustRightInd w:val="0"/>
        <w:spacing w:after="0" w:line="240" w:lineRule="auto"/>
        <w:ind w:firstLine="708"/>
        <w:jc w:val="both"/>
        <w:rPr>
          <w:rFonts w:ascii="Times New Roman" w:eastAsia="Calibri" w:hAnsi="Times New Roman" w:cs="Times New Roman"/>
          <w:b/>
          <w:sz w:val="24"/>
          <w:szCs w:val="24"/>
          <w:lang w:val="pl-PL"/>
        </w:rPr>
      </w:pPr>
    </w:p>
    <w:p w14:paraId="765002E1" w14:textId="28FFF9CB" w:rsidR="00552E6F" w:rsidRPr="00552E6F" w:rsidRDefault="00C3449A" w:rsidP="00C3449A">
      <w:pPr>
        <w:autoSpaceDE w:val="0"/>
        <w:autoSpaceDN w:val="0"/>
        <w:adjustRightInd w:val="0"/>
        <w:spacing w:after="0" w:line="240" w:lineRule="auto"/>
        <w:ind w:firstLine="708"/>
        <w:jc w:val="both"/>
        <w:rPr>
          <w:rFonts w:ascii="Times New Roman" w:eastAsia="Calibri" w:hAnsi="Times New Roman" w:cs="Times New Roman"/>
          <w:b/>
          <w:sz w:val="24"/>
          <w:szCs w:val="24"/>
          <w:lang w:val="pl-PL"/>
        </w:rPr>
      </w:pPr>
      <w:r w:rsidRPr="00C3449A">
        <w:rPr>
          <w:rFonts w:ascii="Times New Roman" w:eastAsia="Calibri" w:hAnsi="Times New Roman" w:cs="Times New Roman"/>
          <w:b/>
          <w:sz w:val="24"/>
          <w:szCs w:val="24"/>
          <w:lang w:val="pl-PL"/>
        </w:rPr>
        <w:t>INTRODUCTION</w:t>
      </w:r>
    </w:p>
    <w:p w14:paraId="768B61C1" w14:textId="77777777" w:rsidR="00552E6F" w:rsidRPr="00552E6F" w:rsidRDefault="00552E6F" w:rsidP="0042072B">
      <w:pPr>
        <w:autoSpaceDE w:val="0"/>
        <w:autoSpaceDN w:val="0"/>
        <w:adjustRightInd w:val="0"/>
        <w:spacing w:after="0" w:line="240" w:lineRule="auto"/>
        <w:ind w:firstLine="708"/>
        <w:jc w:val="both"/>
        <w:rPr>
          <w:rFonts w:ascii="Times New Roman" w:eastAsia="Calibri" w:hAnsi="Times New Roman" w:cs="Times New Roman"/>
          <w:sz w:val="24"/>
          <w:szCs w:val="24"/>
          <w:lang w:val="pl-PL"/>
        </w:rPr>
      </w:pPr>
    </w:p>
    <w:p w14:paraId="73735B45" w14:textId="53E97A42" w:rsidR="00552E6F" w:rsidRPr="00552E6F" w:rsidRDefault="00552E6F" w:rsidP="0042072B">
      <w:pPr>
        <w:autoSpaceDE w:val="0"/>
        <w:autoSpaceDN w:val="0"/>
        <w:adjustRightInd w:val="0"/>
        <w:spacing w:after="0" w:line="240" w:lineRule="auto"/>
        <w:ind w:firstLine="708"/>
        <w:jc w:val="both"/>
        <w:rPr>
          <w:rFonts w:ascii="Times New Roman" w:eastAsia="Calibri" w:hAnsi="Times New Roman" w:cs="Times New Roman"/>
          <w:sz w:val="24"/>
          <w:szCs w:val="24"/>
          <w:lang w:val="pl-PL" w:eastAsia="pl-PL"/>
        </w:rPr>
      </w:pPr>
      <w:r w:rsidRPr="00552E6F">
        <w:rPr>
          <w:rFonts w:ascii="Times New Roman" w:eastAsia="Calibri" w:hAnsi="Times New Roman" w:cs="Times New Roman"/>
          <w:sz w:val="24"/>
          <w:szCs w:val="24"/>
          <w:lang w:val="pl-PL"/>
        </w:rPr>
        <w:lastRenderedPageBreak/>
        <w:t>Parki narodowe są jednym z najważniejszych miejsc dziedzictwa, zarówno przyrodniczego jak i kulturowego</w:t>
      </w:r>
      <w:r w:rsidR="0042072B">
        <w:rPr>
          <w:rFonts w:ascii="Times New Roman" w:eastAsia="Calibri" w:hAnsi="Times New Roman" w:cs="Times New Roman"/>
          <w:sz w:val="24"/>
          <w:szCs w:val="24"/>
        </w:rPr>
        <w:t xml:space="preserve">……. </w:t>
      </w:r>
      <w:r w:rsidRPr="00552E6F">
        <w:rPr>
          <w:rFonts w:ascii="Times New Roman" w:eastAsia="Calibri" w:hAnsi="Times New Roman" w:cs="Times New Roman"/>
          <w:sz w:val="24"/>
          <w:szCs w:val="24"/>
          <w:lang w:val="pl-PL" w:eastAsia="pl-PL"/>
        </w:rPr>
        <w:t xml:space="preserve"> </w:t>
      </w:r>
    </w:p>
    <w:p w14:paraId="2B814DD8" w14:textId="77777777" w:rsidR="00552E6F" w:rsidRPr="00552E6F" w:rsidRDefault="00552E6F" w:rsidP="00A810FA">
      <w:pPr>
        <w:autoSpaceDE w:val="0"/>
        <w:autoSpaceDN w:val="0"/>
        <w:adjustRightInd w:val="0"/>
        <w:spacing w:after="0" w:line="240" w:lineRule="auto"/>
        <w:ind w:firstLine="708"/>
        <w:jc w:val="both"/>
        <w:rPr>
          <w:rFonts w:ascii="Times New Roman" w:eastAsia="Calibri" w:hAnsi="Times New Roman" w:cs="Times New Roman"/>
          <w:sz w:val="24"/>
          <w:szCs w:val="24"/>
          <w:lang w:val="pl-PL" w:eastAsia="pl-PL"/>
        </w:rPr>
      </w:pPr>
    </w:p>
    <w:p w14:paraId="32E4F544" w14:textId="77777777" w:rsidR="0042072B" w:rsidRDefault="00552E6F" w:rsidP="00A810FA">
      <w:pPr>
        <w:autoSpaceDE w:val="0"/>
        <w:autoSpaceDN w:val="0"/>
        <w:adjustRightInd w:val="0"/>
        <w:spacing w:after="0" w:line="240" w:lineRule="auto"/>
        <w:jc w:val="both"/>
        <w:rPr>
          <w:rFonts w:ascii="Times New Roman" w:eastAsia="Calibri" w:hAnsi="Times New Roman" w:cs="Times New Roman"/>
          <w:b/>
          <w:sz w:val="24"/>
          <w:szCs w:val="24"/>
          <w:lang w:val="pl-PL" w:eastAsia="pl-PL"/>
        </w:rPr>
      </w:pPr>
      <w:r w:rsidRPr="00552E6F">
        <w:rPr>
          <w:rFonts w:ascii="Times New Roman" w:eastAsia="Calibri" w:hAnsi="Times New Roman" w:cs="Times New Roman"/>
          <w:b/>
          <w:sz w:val="24"/>
          <w:szCs w:val="24"/>
          <w:lang w:val="pl-PL" w:eastAsia="pl-PL"/>
        </w:rPr>
        <w:t>INTERPRETACJA JAKO NARZĘDZIE WSPIERAJĄCE OCHRONĘ DZIEDZICTWA</w:t>
      </w:r>
    </w:p>
    <w:p w14:paraId="24F863D2" w14:textId="77777777" w:rsidR="0042072B" w:rsidRDefault="0042072B" w:rsidP="0042072B">
      <w:pPr>
        <w:autoSpaceDE w:val="0"/>
        <w:autoSpaceDN w:val="0"/>
        <w:adjustRightInd w:val="0"/>
        <w:spacing w:after="0" w:line="240" w:lineRule="auto"/>
        <w:jc w:val="center"/>
        <w:rPr>
          <w:rFonts w:ascii="Times New Roman" w:eastAsia="Calibri" w:hAnsi="Times New Roman" w:cs="Times New Roman"/>
          <w:b/>
          <w:sz w:val="24"/>
          <w:szCs w:val="24"/>
          <w:lang w:val="pl-PL" w:eastAsia="pl-PL"/>
        </w:rPr>
      </w:pPr>
    </w:p>
    <w:p w14:paraId="48867C0D" w14:textId="6476221F" w:rsidR="002A28BB" w:rsidRPr="0042072B" w:rsidRDefault="00552E6F" w:rsidP="0042072B">
      <w:pPr>
        <w:autoSpaceDE w:val="0"/>
        <w:autoSpaceDN w:val="0"/>
        <w:adjustRightInd w:val="0"/>
        <w:spacing w:after="0" w:line="240" w:lineRule="auto"/>
        <w:ind w:firstLine="709"/>
        <w:jc w:val="both"/>
        <w:rPr>
          <w:rFonts w:ascii="Times New Roman" w:eastAsia="Calibri" w:hAnsi="Times New Roman" w:cs="Times New Roman"/>
          <w:b/>
          <w:sz w:val="24"/>
          <w:szCs w:val="24"/>
          <w:lang w:val="pl-PL" w:eastAsia="pl-PL"/>
        </w:rPr>
      </w:pPr>
      <w:r w:rsidRPr="0042072B">
        <w:rPr>
          <w:rFonts w:ascii="Times New Roman" w:eastAsia="Calibri" w:hAnsi="Times New Roman" w:cs="Times New Roman"/>
          <w:sz w:val="24"/>
          <w:szCs w:val="24"/>
          <w:lang w:val="pl-PL"/>
        </w:rPr>
        <w:t xml:space="preserve">Interpretacja dziedzictwa (z </w:t>
      </w:r>
      <w:r w:rsidRPr="0042072B">
        <w:rPr>
          <w:rFonts w:ascii="Times New Roman" w:eastAsia="Calibri" w:hAnsi="Times New Roman" w:cs="Times New Roman"/>
          <w:i/>
          <w:sz w:val="24"/>
          <w:szCs w:val="24"/>
          <w:lang w:val="pl-PL"/>
        </w:rPr>
        <w:t xml:space="preserve">ang. – Heritage Interpretation, </w:t>
      </w:r>
      <w:r w:rsidRPr="0042072B">
        <w:rPr>
          <w:rFonts w:ascii="Times New Roman" w:eastAsia="Calibri" w:hAnsi="Times New Roman" w:cs="Times New Roman"/>
          <w:sz w:val="24"/>
          <w:szCs w:val="24"/>
          <w:lang w:val="pl-PL"/>
        </w:rPr>
        <w:t>w skrócie</w:t>
      </w:r>
      <w:r w:rsidRPr="0042072B">
        <w:rPr>
          <w:rFonts w:ascii="Times New Roman" w:eastAsia="Calibri" w:hAnsi="Times New Roman" w:cs="Times New Roman"/>
          <w:i/>
          <w:sz w:val="24"/>
          <w:szCs w:val="24"/>
          <w:lang w:val="pl-PL"/>
        </w:rPr>
        <w:t xml:space="preserve"> HI</w:t>
      </w:r>
      <w:r w:rsidRPr="0042072B">
        <w:rPr>
          <w:rFonts w:ascii="Times New Roman" w:eastAsia="Calibri" w:hAnsi="Times New Roman" w:cs="Times New Roman"/>
          <w:sz w:val="24"/>
          <w:szCs w:val="24"/>
          <w:lang w:val="pl-PL"/>
        </w:rPr>
        <w:t xml:space="preserve">) to dziedzina, której historia sięga ponad 100 lat i ściśle wiąże się z powstaniem pierwszych parków narodowych na świecie - Yellowstone czy Yosemite w Stanach Zjednoczonych. Jedną z kluczowych postaci zaangażowanych w powstanie tych parków i systemu ochrony przyrody był John Muir, który stworzył także podwaliny interpretacji. Sam termin pojawia się w Jego utworach: </w:t>
      </w:r>
      <w:r w:rsidRPr="0042072B">
        <w:rPr>
          <w:rFonts w:ascii="Times New Roman" w:eastAsia="Calibri" w:hAnsi="Times New Roman" w:cs="Times New Roman"/>
          <w:i/>
          <w:sz w:val="24"/>
          <w:szCs w:val="24"/>
          <w:lang w:val="pl-PL"/>
        </w:rPr>
        <w:t>Zinterpretuję skały, nauczę się języka powodzi, burzy i lawiny. Zapoznam się z lodowcami  i dzikimi ogrodami, i zbliżę się, jak to tylko możliwe, do serca świata</w:t>
      </w:r>
      <w:r w:rsidRPr="0042072B">
        <w:rPr>
          <w:rFonts w:ascii="Times New Roman" w:eastAsia="Calibri" w:hAnsi="Times New Roman" w:cs="Times New Roman"/>
          <w:sz w:val="24"/>
          <w:szCs w:val="24"/>
          <w:lang w:val="pl-PL"/>
        </w:rPr>
        <w:t>.</w:t>
      </w:r>
      <w:r w:rsidRPr="0042072B">
        <w:rPr>
          <w:rFonts w:ascii="Times New Roman" w:eastAsia="Calibri" w:hAnsi="Times New Roman" w:cs="Times New Roman"/>
          <w:sz w:val="24"/>
          <w:szCs w:val="24"/>
          <w:vertAlign w:val="superscript"/>
          <w:lang w:val="pl-PL"/>
        </w:rPr>
        <w:footnoteReference w:id="1"/>
      </w:r>
    </w:p>
    <w:p w14:paraId="23819837" w14:textId="3DB932BF" w:rsidR="00552E6F" w:rsidRPr="0042072B" w:rsidRDefault="00552E6F" w:rsidP="0042072B">
      <w:pPr>
        <w:spacing w:line="240" w:lineRule="auto"/>
        <w:jc w:val="both"/>
        <w:rPr>
          <w:rFonts w:ascii="Times New Roman" w:eastAsia="Calibri" w:hAnsi="Times New Roman" w:cs="Times New Roman"/>
          <w:sz w:val="24"/>
          <w:szCs w:val="24"/>
          <w:lang w:val="pl-PL"/>
        </w:rPr>
      </w:pPr>
    </w:p>
    <w:p w14:paraId="04DCAF25" w14:textId="550CF2A3" w:rsidR="00552E6F" w:rsidRPr="00552E6F" w:rsidRDefault="00552E6F" w:rsidP="0042072B">
      <w:pPr>
        <w:spacing w:line="240" w:lineRule="auto"/>
        <w:jc w:val="center"/>
        <w:rPr>
          <w:rFonts w:ascii="Times New Roman" w:eastAsia="Calibri" w:hAnsi="Times New Roman" w:cs="Times New Roman"/>
          <w:sz w:val="24"/>
          <w:szCs w:val="24"/>
          <w:lang w:val="pl-PL"/>
        </w:rPr>
      </w:pPr>
      <w:r w:rsidRPr="0042072B">
        <w:rPr>
          <w:rFonts w:ascii="Times New Roman" w:eastAsia="Calibri" w:hAnsi="Times New Roman" w:cs="Times New Roman"/>
          <w:noProof/>
          <w:sz w:val="24"/>
          <w:szCs w:val="24"/>
          <w:lang w:eastAsia="uk-UA"/>
        </w:rPr>
        <w:drawing>
          <wp:inline distT="0" distB="0" distL="0" distR="0" wp14:anchorId="4F49DB82" wp14:editId="2DC0B5D8">
            <wp:extent cx="2078990" cy="16402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8990" cy="1640205"/>
                    </a:xfrm>
                    <a:prstGeom prst="rect">
                      <a:avLst/>
                    </a:prstGeom>
                    <a:noFill/>
                  </pic:spPr>
                </pic:pic>
              </a:graphicData>
            </a:graphic>
          </wp:inline>
        </w:drawing>
      </w:r>
    </w:p>
    <w:p w14:paraId="2ACC926D" w14:textId="4B78227C" w:rsidR="00552E6F" w:rsidRPr="00552E6F" w:rsidRDefault="00552E6F" w:rsidP="0042072B">
      <w:pPr>
        <w:autoSpaceDE w:val="0"/>
        <w:autoSpaceDN w:val="0"/>
        <w:adjustRightInd w:val="0"/>
        <w:spacing w:after="0" w:line="240" w:lineRule="auto"/>
        <w:jc w:val="both"/>
        <w:rPr>
          <w:rFonts w:ascii="Times New Roman" w:eastAsia="Calibri" w:hAnsi="Times New Roman" w:cs="Times New Roman"/>
          <w:sz w:val="24"/>
          <w:szCs w:val="24"/>
          <w:lang w:val="en-US" w:eastAsia="pl-PL"/>
        </w:rPr>
      </w:pPr>
      <w:r w:rsidRPr="00996821">
        <w:rPr>
          <w:rFonts w:ascii="Times New Roman" w:eastAsia="Calibri" w:hAnsi="Times New Roman" w:cs="Times New Roman"/>
          <w:lang w:val="en-US"/>
        </w:rPr>
        <w:t xml:space="preserve">Ryc. </w:t>
      </w:r>
      <w:r w:rsidR="0042072B" w:rsidRPr="00996821">
        <w:rPr>
          <w:rFonts w:ascii="Times New Roman" w:eastAsia="Calibri" w:hAnsi="Times New Roman" w:cs="Times New Roman"/>
        </w:rPr>
        <w:t>1</w:t>
      </w:r>
      <w:r w:rsidRPr="00996821">
        <w:rPr>
          <w:rFonts w:ascii="Times New Roman" w:eastAsia="Calibri" w:hAnsi="Times New Roman" w:cs="Times New Roman"/>
          <w:lang w:val="en-US"/>
        </w:rPr>
        <w:t>.</w:t>
      </w:r>
      <w:r w:rsidRPr="00996821">
        <w:rPr>
          <w:rFonts w:ascii="Times New Roman" w:eastAsia="Calibri" w:hAnsi="Times New Roman" w:cs="Times New Roman"/>
          <w:lang w:val="en-US" w:eastAsia="pl-PL"/>
        </w:rPr>
        <w:t xml:space="preserve"> Trójkąt interpretacji. Ryc. za: Ludwig T. </w:t>
      </w:r>
      <w:r w:rsidRPr="00996821">
        <w:rPr>
          <w:rFonts w:ascii="Times New Roman" w:eastAsia="Calibri" w:hAnsi="Times New Roman" w:cs="Times New Roman"/>
          <w:lang w:val="en-US"/>
        </w:rPr>
        <w:t>The Interpretive Guide – Sharing Heritage with People</w:t>
      </w:r>
      <w:r w:rsidRPr="00552E6F">
        <w:rPr>
          <w:rFonts w:ascii="Times New Roman" w:eastAsia="Calibri" w:hAnsi="Times New Roman" w:cs="Times New Roman"/>
          <w:sz w:val="24"/>
          <w:szCs w:val="24"/>
          <w:lang w:val="en-US"/>
        </w:rPr>
        <w:t>.</w:t>
      </w:r>
    </w:p>
    <w:p w14:paraId="051A3A57" w14:textId="5175801B" w:rsidR="00552E6F" w:rsidRDefault="00552E6F" w:rsidP="0042072B">
      <w:pPr>
        <w:autoSpaceDE w:val="0"/>
        <w:autoSpaceDN w:val="0"/>
        <w:adjustRightInd w:val="0"/>
        <w:spacing w:after="0" w:line="240" w:lineRule="auto"/>
        <w:jc w:val="both"/>
        <w:rPr>
          <w:rFonts w:ascii="Times New Roman" w:eastAsia="Calibri" w:hAnsi="Times New Roman" w:cs="Times New Roman"/>
          <w:sz w:val="24"/>
          <w:szCs w:val="24"/>
          <w:lang w:val="en-US" w:eastAsia="pl-PL"/>
        </w:rPr>
      </w:pPr>
    </w:p>
    <w:p w14:paraId="63021369" w14:textId="77777777" w:rsidR="00C3449A" w:rsidRPr="00C3449A" w:rsidRDefault="00C3449A" w:rsidP="00C3449A">
      <w:pPr>
        <w:autoSpaceDE w:val="0"/>
        <w:autoSpaceDN w:val="0"/>
        <w:adjustRightInd w:val="0"/>
        <w:spacing w:after="0" w:line="240" w:lineRule="auto"/>
        <w:jc w:val="both"/>
        <w:rPr>
          <w:rFonts w:ascii="Times New Roman" w:eastAsia="Calibri" w:hAnsi="Times New Roman" w:cs="Times New Roman"/>
          <w:b/>
          <w:bCs/>
          <w:sz w:val="24"/>
          <w:szCs w:val="24"/>
          <w:lang w:val="en-US" w:eastAsia="pl-PL"/>
        </w:rPr>
      </w:pPr>
      <w:r w:rsidRPr="00C3449A">
        <w:rPr>
          <w:rFonts w:ascii="Times New Roman" w:eastAsia="Calibri" w:hAnsi="Times New Roman" w:cs="Times New Roman"/>
          <w:b/>
          <w:bCs/>
          <w:sz w:val="24"/>
          <w:szCs w:val="24"/>
          <w:lang w:val="en-US" w:eastAsia="pl-PL"/>
        </w:rPr>
        <w:t>DEFINICJA I PODSTAWY</w:t>
      </w:r>
    </w:p>
    <w:p w14:paraId="2F369D82" w14:textId="77777777" w:rsidR="00C3449A" w:rsidRPr="00C3449A" w:rsidRDefault="00C3449A" w:rsidP="00C3449A">
      <w:pPr>
        <w:autoSpaceDE w:val="0"/>
        <w:autoSpaceDN w:val="0"/>
        <w:adjustRightInd w:val="0"/>
        <w:spacing w:after="0" w:line="240" w:lineRule="auto"/>
        <w:jc w:val="both"/>
        <w:rPr>
          <w:rFonts w:ascii="Times New Roman" w:eastAsia="Calibri" w:hAnsi="Times New Roman" w:cs="Times New Roman"/>
          <w:b/>
          <w:bCs/>
          <w:sz w:val="24"/>
          <w:szCs w:val="24"/>
          <w:lang w:val="en-US" w:eastAsia="pl-PL"/>
        </w:rPr>
      </w:pPr>
    </w:p>
    <w:p w14:paraId="23C07A08" w14:textId="229D7368" w:rsidR="00C3449A" w:rsidRPr="00552E6F" w:rsidRDefault="00C3449A" w:rsidP="00C3449A">
      <w:pPr>
        <w:autoSpaceDE w:val="0"/>
        <w:autoSpaceDN w:val="0"/>
        <w:adjustRightInd w:val="0"/>
        <w:spacing w:after="0" w:line="240" w:lineRule="auto"/>
        <w:jc w:val="both"/>
        <w:rPr>
          <w:rFonts w:ascii="Times New Roman" w:eastAsia="Calibri" w:hAnsi="Times New Roman" w:cs="Times New Roman"/>
          <w:sz w:val="24"/>
          <w:szCs w:val="24"/>
          <w:lang w:eastAsia="pl-PL"/>
        </w:rPr>
      </w:pPr>
      <w:r w:rsidRPr="00C3449A">
        <w:rPr>
          <w:rFonts w:ascii="Times New Roman" w:eastAsia="Calibri" w:hAnsi="Times New Roman" w:cs="Times New Roman"/>
          <w:sz w:val="24"/>
          <w:szCs w:val="24"/>
          <w:lang w:val="en-US" w:eastAsia="pl-PL"/>
        </w:rPr>
        <w:t>Twórcą interpretacji jako zdefiniowanej dziedziny był Freemen</w:t>
      </w:r>
      <w:r>
        <w:rPr>
          <w:rFonts w:ascii="Times New Roman" w:eastAsia="Calibri" w:hAnsi="Times New Roman" w:cs="Times New Roman"/>
          <w:sz w:val="24"/>
          <w:szCs w:val="24"/>
          <w:lang w:eastAsia="pl-PL"/>
        </w:rPr>
        <w:t xml:space="preserve"> </w:t>
      </w:r>
      <w:r w:rsidRPr="00C3449A">
        <w:rPr>
          <w:rFonts w:ascii="Times New Roman" w:eastAsia="Calibri" w:hAnsi="Times New Roman" w:cs="Times New Roman"/>
          <w:sz w:val="24"/>
          <w:szCs w:val="24"/>
          <w:lang w:val="en-US" w:eastAsia="pl-PL"/>
        </w:rPr>
        <w:t>Tilden – dziennikarz i pisarz, który</w:t>
      </w:r>
      <w:r>
        <w:rPr>
          <w:rFonts w:ascii="Times New Roman" w:eastAsia="Calibri" w:hAnsi="Times New Roman" w:cs="Times New Roman"/>
          <w:sz w:val="24"/>
          <w:szCs w:val="24"/>
          <w:lang w:eastAsia="pl-PL"/>
        </w:rPr>
        <w:t xml:space="preserve"> </w:t>
      </w:r>
      <w:r w:rsidRPr="00C3449A">
        <w:rPr>
          <w:rFonts w:ascii="Times New Roman" w:eastAsia="Calibri" w:hAnsi="Times New Roman" w:cs="Times New Roman"/>
          <w:sz w:val="24"/>
          <w:szCs w:val="24"/>
          <w:lang w:val="en-US" w:eastAsia="pl-PL"/>
        </w:rPr>
        <w:t>podróżował po parkach narodowych</w:t>
      </w:r>
      <w:r>
        <w:rPr>
          <w:rFonts w:ascii="Times New Roman" w:eastAsia="Calibri" w:hAnsi="Times New Roman" w:cs="Times New Roman"/>
          <w:sz w:val="24"/>
          <w:szCs w:val="24"/>
          <w:lang w:eastAsia="pl-PL"/>
        </w:rPr>
        <w:t xml:space="preserve"> </w:t>
      </w:r>
      <w:r w:rsidRPr="00C3449A">
        <w:rPr>
          <w:rFonts w:ascii="Times New Roman" w:eastAsia="Calibri" w:hAnsi="Times New Roman" w:cs="Times New Roman"/>
          <w:sz w:val="24"/>
          <w:szCs w:val="24"/>
          <w:lang w:val="en-US" w:eastAsia="pl-PL"/>
        </w:rPr>
        <w:t>i obserwował pracę przewodników w tych miejscach</w:t>
      </w:r>
      <w:r>
        <w:rPr>
          <w:rFonts w:ascii="Times New Roman" w:eastAsia="Calibri" w:hAnsi="Times New Roman" w:cs="Times New Roman"/>
          <w:sz w:val="24"/>
          <w:szCs w:val="24"/>
          <w:lang w:val="en-US" w:eastAsia="pl-PL"/>
        </w:rPr>
        <w:t>…</w:t>
      </w:r>
      <w:r>
        <w:rPr>
          <w:rFonts w:ascii="Times New Roman" w:eastAsia="Calibri" w:hAnsi="Times New Roman" w:cs="Times New Roman"/>
          <w:sz w:val="24"/>
          <w:szCs w:val="24"/>
          <w:lang w:eastAsia="pl-PL"/>
        </w:rPr>
        <w:t>.</w:t>
      </w:r>
    </w:p>
    <w:p w14:paraId="1812E0B9" w14:textId="77777777" w:rsidR="00C3449A" w:rsidRDefault="00C3449A" w:rsidP="0042072B">
      <w:pPr>
        <w:spacing w:line="240" w:lineRule="auto"/>
        <w:jc w:val="both"/>
        <w:rPr>
          <w:rFonts w:ascii="Times New Roman" w:eastAsia="Calibri" w:hAnsi="Times New Roman" w:cs="Times New Roman"/>
          <w:b/>
          <w:sz w:val="24"/>
          <w:szCs w:val="24"/>
          <w:lang w:val="pl-PL"/>
        </w:rPr>
      </w:pPr>
    </w:p>
    <w:p w14:paraId="5A3CCDCE" w14:textId="09302BF4" w:rsidR="00552E6F" w:rsidRPr="00552E6F" w:rsidRDefault="00552E6F" w:rsidP="0042072B">
      <w:pPr>
        <w:spacing w:line="240" w:lineRule="auto"/>
        <w:jc w:val="both"/>
        <w:rPr>
          <w:rFonts w:ascii="Times New Roman" w:eastAsia="Calibri" w:hAnsi="Times New Roman" w:cs="Times New Roman"/>
          <w:b/>
          <w:sz w:val="24"/>
          <w:szCs w:val="24"/>
          <w:lang w:val="pl-PL"/>
        </w:rPr>
      </w:pPr>
      <w:r w:rsidRPr="00552E6F">
        <w:rPr>
          <w:rFonts w:ascii="Times New Roman" w:eastAsia="Calibri" w:hAnsi="Times New Roman" w:cs="Times New Roman"/>
          <w:b/>
          <w:sz w:val="24"/>
          <w:szCs w:val="24"/>
          <w:lang w:val="pl-PL"/>
        </w:rPr>
        <w:t>PODEJŚCIE INTERPRETACYJNE A ZAANGAŻOWANIE LOKALNYCH SPOŁECZNOŚCI</w:t>
      </w:r>
    </w:p>
    <w:p w14:paraId="6167019E" w14:textId="49ACB219" w:rsidR="00552E6F" w:rsidRPr="0042072B" w:rsidRDefault="00552E6F" w:rsidP="0042072B">
      <w:pPr>
        <w:jc w:val="both"/>
        <w:rPr>
          <w:rFonts w:ascii="Times New Roman" w:eastAsia="Calibri" w:hAnsi="Times New Roman" w:cs="Times New Roman"/>
          <w:sz w:val="24"/>
          <w:szCs w:val="24"/>
        </w:rPr>
      </w:pPr>
      <w:r w:rsidRPr="0042072B">
        <w:rPr>
          <w:rFonts w:ascii="Times New Roman" w:eastAsia="Calibri" w:hAnsi="Times New Roman" w:cs="Times New Roman"/>
          <w:sz w:val="24"/>
          <w:szCs w:val="24"/>
          <w:lang w:val="pl-PL"/>
        </w:rPr>
        <w:t>Interpretacja poszerza horyzonty, podnosi poziom satysfakcji odbiorcy. Może wpływać na zmianę zachowań i postaw zarówno turystów, jak i lokalnych mieszkańców</w:t>
      </w:r>
      <w:r w:rsidR="0042072B">
        <w:rPr>
          <w:rFonts w:ascii="Times New Roman" w:eastAsia="Calibri" w:hAnsi="Times New Roman" w:cs="Times New Roman"/>
          <w:sz w:val="24"/>
          <w:szCs w:val="24"/>
          <w:lang w:val="pl-PL"/>
        </w:rPr>
        <w:t>…</w:t>
      </w:r>
      <w:r w:rsidR="0042072B">
        <w:rPr>
          <w:rFonts w:ascii="Times New Roman" w:eastAsia="Calibri" w:hAnsi="Times New Roman" w:cs="Times New Roman"/>
          <w:sz w:val="24"/>
          <w:szCs w:val="24"/>
        </w:rPr>
        <w:t>…</w:t>
      </w:r>
    </w:p>
    <w:p w14:paraId="59D255FF" w14:textId="7BD50024" w:rsidR="00552E6F" w:rsidRPr="0042072B" w:rsidRDefault="00552E6F" w:rsidP="00C3449A">
      <w:pPr>
        <w:jc w:val="center"/>
        <w:rPr>
          <w:rFonts w:ascii="Times New Roman" w:eastAsia="Calibri" w:hAnsi="Times New Roman" w:cs="Times New Roman"/>
          <w:sz w:val="24"/>
          <w:szCs w:val="24"/>
          <w:lang w:val="pl-PL"/>
        </w:rPr>
      </w:pPr>
      <w:r w:rsidRPr="0042072B">
        <w:rPr>
          <w:rFonts w:ascii="Times New Roman" w:eastAsia="Calibri" w:hAnsi="Times New Roman" w:cs="Times New Roman"/>
          <w:noProof/>
          <w:sz w:val="24"/>
          <w:szCs w:val="24"/>
          <w:lang w:eastAsia="uk-UA"/>
        </w:rPr>
        <w:lastRenderedPageBreak/>
        <w:drawing>
          <wp:inline distT="0" distB="0" distL="0" distR="0" wp14:anchorId="357361E9" wp14:editId="267FF2CD">
            <wp:extent cx="4523740" cy="2888615"/>
            <wp:effectExtent l="19050" t="0" r="0" b="0"/>
            <wp:docPr id="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523740" cy="2888615"/>
                    </a:xfrm>
                    <a:prstGeom prst="rect">
                      <a:avLst/>
                    </a:prstGeom>
                    <a:noFill/>
                    <a:ln w="9525">
                      <a:noFill/>
                      <a:miter lim="800000"/>
                      <a:headEnd/>
                      <a:tailEnd/>
                    </a:ln>
                  </pic:spPr>
                </pic:pic>
              </a:graphicData>
            </a:graphic>
          </wp:inline>
        </w:drawing>
      </w:r>
    </w:p>
    <w:p w14:paraId="00803FF6" w14:textId="77777777" w:rsidR="00A810FA" w:rsidRPr="00996821" w:rsidRDefault="00552E6F" w:rsidP="00A810FA">
      <w:pPr>
        <w:spacing w:line="240" w:lineRule="auto"/>
        <w:jc w:val="both"/>
        <w:rPr>
          <w:rFonts w:ascii="Times New Roman" w:eastAsia="Calibri" w:hAnsi="Times New Roman" w:cs="Times New Roman"/>
          <w:lang w:val="pl-PL" w:eastAsia="pl-PL"/>
        </w:rPr>
      </w:pPr>
      <w:r w:rsidRPr="00996821">
        <w:rPr>
          <w:rFonts w:ascii="Times New Roman" w:eastAsia="Calibri" w:hAnsi="Times New Roman" w:cs="Times New Roman"/>
          <w:lang w:val="pl-PL"/>
        </w:rPr>
        <w:t xml:space="preserve">Ryc. </w:t>
      </w:r>
      <w:r w:rsidR="00C3449A" w:rsidRPr="00996821">
        <w:rPr>
          <w:rFonts w:ascii="Times New Roman" w:eastAsia="Calibri" w:hAnsi="Times New Roman" w:cs="Times New Roman"/>
        </w:rPr>
        <w:t>2</w:t>
      </w:r>
      <w:r w:rsidRPr="00996821">
        <w:rPr>
          <w:rFonts w:ascii="Times New Roman" w:eastAsia="Calibri" w:hAnsi="Times New Roman" w:cs="Times New Roman"/>
          <w:lang w:val="pl-PL"/>
        </w:rPr>
        <w:t>.</w:t>
      </w:r>
      <w:r w:rsidRPr="00996821">
        <w:rPr>
          <w:rFonts w:ascii="Times New Roman" w:eastAsia="Calibri" w:hAnsi="Times New Roman" w:cs="Times New Roman"/>
          <w:lang w:val="pl-PL" w:eastAsia="pl-PL"/>
        </w:rPr>
        <w:t xml:space="preserve"> Rola edukacji i interpretacji poprzez bezpośrednie doświadczenie w ochronie dziedzictwa. Ryc. za: Kuś M. (zmienione).</w:t>
      </w:r>
    </w:p>
    <w:p w14:paraId="7F0B795D" w14:textId="77777777" w:rsidR="00A810FA" w:rsidRDefault="00A810FA" w:rsidP="00A810FA">
      <w:pPr>
        <w:spacing w:line="240" w:lineRule="auto"/>
        <w:jc w:val="both"/>
        <w:rPr>
          <w:rFonts w:ascii="Times New Roman" w:hAnsi="Times New Roman" w:cs="Times New Roman"/>
          <w:b/>
          <w:bCs/>
          <w:sz w:val="24"/>
          <w:szCs w:val="24"/>
        </w:rPr>
      </w:pPr>
    </w:p>
    <w:p w14:paraId="4D222DC6" w14:textId="06FEFBB8" w:rsidR="00552E6F" w:rsidRPr="00A810FA" w:rsidRDefault="00C3449A" w:rsidP="00A810FA">
      <w:pPr>
        <w:spacing w:line="240" w:lineRule="auto"/>
        <w:ind w:firstLine="709"/>
        <w:jc w:val="both"/>
        <w:rPr>
          <w:rFonts w:ascii="Times New Roman" w:eastAsia="Calibri" w:hAnsi="Times New Roman" w:cs="Times New Roman"/>
          <w:sz w:val="24"/>
          <w:szCs w:val="24"/>
          <w:lang w:val="pl-PL" w:eastAsia="pl-PL"/>
        </w:rPr>
      </w:pPr>
      <w:r w:rsidRPr="00C3449A">
        <w:rPr>
          <w:rFonts w:ascii="Times New Roman" w:hAnsi="Times New Roman" w:cs="Times New Roman"/>
          <w:b/>
          <w:bCs/>
          <w:sz w:val="24"/>
          <w:szCs w:val="24"/>
        </w:rPr>
        <w:t>CONCLUSION</w:t>
      </w:r>
    </w:p>
    <w:p w14:paraId="1E32C350" w14:textId="5FE8D976" w:rsidR="00552E6F" w:rsidRPr="00996821" w:rsidRDefault="00C3449A" w:rsidP="00996821">
      <w:pPr>
        <w:jc w:val="both"/>
        <w:rPr>
          <w:rFonts w:ascii="Times New Roman" w:hAnsi="Times New Roman" w:cs="Times New Roman"/>
          <w:b/>
          <w:bCs/>
          <w:sz w:val="24"/>
          <w:szCs w:val="24"/>
        </w:rPr>
      </w:pPr>
      <w:r>
        <w:rPr>
          <w:rFonts w:ascii="Times New Roman" w:hAnsi="Times New Roman" w:cs="Times New Roman"/>
          <w:b/>
          <w:bCs/>
          <w:sz w:val="24"/>
          <w:szCs w:val="24"/>
        </w:rPr>
        <w:t>…..</w:t>
      </w:r>
    </w:p>
    <w:p w14:paraId="32B66C68" w14:textId="3DED426C" w:rsidR="00552E6F" w:rsidRDefault="00C3449A" w:rsidP="00A810FA">
      <w:pPr>
        <w:spacing w:after="0" w:line="240" w:lineRule="auto"/>
        <w:ind w:firstLine="709"/>
        <w:jc w:val="both"/>
        <w:rPr>
          <w:rFonts w:ascii="Times New Roman" w:eastAsia="Calibri" w:hAnsi="Times New Roman" w:cs="Times New Roman"/>
          <w:b/>
          <w:bCs/>
          <w:sz w:val="24"/>
          <w:szCs w:val="24"/>
          <w:lang w:val="en-US"/>
        </w:rPr>
      </w:pPr>
      <w:r w:rsidRPr="00552E6F">
        <w:rPr>
          <w:rFonts w:ascii="Times New Roman" w:eastAsia="Calibri" w:hAnsi="Times New Roman" w:cs="Times New Roman"/>
          <w:b/>
          <w:bCs/>
          <w:sz w:val="24"/>
          <w:szCs w:val="24"/>
          <w:lang w:val="en-US"/>
        </w:rPr>
        <w:t>BIBLIOGRAFIA</w:t>
      </w:r>
    </w:p>
    <w:p w14:paraId="521A07F1" w14:textId="77777777" w:rsidR="00A810FA" w:rsidRPr="00552E6F" w:rsidRDefault="00A810FA" w:rsidP="00A810FA">
      <w:pPr>
        <w:spacing w:after="0" w:line="240" w:lineRule="auto"/>
        <w:ind w:firstLine="709"/>
        <w:jc w:val="both"/>
        <w:rPr>
          <w:rFonts w:ascii="Times New Roman" w:eastAsia="Calibri" w:hAnsi="Times New Roman" w:cs="Times New Roman"/>
          <w:b/>
          <w:bCs/>
          <w:sz w:val="24"/>
          <w:szCs w:val="24"/>
        </w:rPr>
      </w:pPr>
    </w:p>
    <w:p w14:paraId="1B69A4A8"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en-US"/>
        </w:rPr>
        <w:t>1. Carter J. 2001. A Sense of Place. An interpretive planning handbook. Scottish Interpretation Network (</w:t>
      </w:r>
      <w:hyperlink r:id="rId9" w:history="1">
        <w:r w:rsidRPr="00552E6F">
          <w:rPr>
            <w:rFonts w:ascii="Times New Roman" w:eastAsia="Calibri" w:hAnsi="Times New Roman" w:cs="Times New Roman"/>
            <w:color w:val="000000"/>
            <w:sz w:val="24"/>
            <w:szCs w:val="24"/>
            <w:lang w:val="en-US"/>
          </w:rPr>
          <w:t>www.scotinterpnet.org.uk</w:t>
        </w:r>
      </w:hyperlink>
      <w:r w:rsidRPr="00552E6F">
        <w:rPr>
          <w:rFonts w:ascii="Times New Roman" w:eastAsia="Calibri" w:hAnsi="Times New Roman" w:cs="Times New Roman"/>
          <w:color w:val="000000"/>
          <w:sz w:val="24"/>
          <w:szCs w:val="24"/>
          <w:lang w:val="en-US"/>
        </w:rPr>
        <w:t>)</w:t>
      </w:r>
      <w:r w:rsidRPr="00552E6F">
        <w:rPr>
          <w:rFonts w:ascii="Times New Roman" w:eastAsia="Calibri" w:hAnsi="Times New Roman" w:cs="Times New Roman"/>
          <w:sz w:val="24"/>
          <w:szCs w:val="24"/>
          <w:lang w:val="en-US"/>
        </w:rPr>
        <w:t>.</w:t>
      </w:r>
    </w:p>
    <w:p w14:paraId="3EDE7076"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768D37E1" w14:textId="77777777" w:rsidR="00552E6F" w:rsidRPr="00552E6F" w:rsidRDefault="00552E6F" w:rsidP="0042072B">
      <w:pPr>
        <w:spacing w:after="0" w:line="240" w:lineRule="auto"/>
        <w:jc w:val="both"/>
        <w:rPr>
          <w:rFonts w:ascii="Times New Roman" w:eastAsia="Calibri" w:hAnsi="Times New Roman" w:cs="Times New Roman"/>
          <w:sz w:val="24"/>
          <w:szCs w:val="24"/>
          <w:lang w:val="pl-PL"/>
        </w:rPr>
      </w:pPr>
      <w:r w:rsidRPr="00552E6F">
        <w:rPr>
          <w:rFonts w:ascii="Times New Roman" w:eastAsia="Calibri" w:hAnsi="Times New Roman" w:cs="Times New Roman"/>
          <w:sz w:val="24"/>
          <w:szCs w:val="24"/>
          <w:lang w:val="en-US"/>
        </w:rPr>
        <w:t xml:space="preserve">2.  Ham S. 2013. Interpretation - Making a difference on purpose. </w:t>
      </w:r>
      <w:r w:rsidRPr="00552E6F">
        <w:rPr>
          <w:rFonts w:ascii="Times New Roman" w:eastAsia="Calibri" w:hAnsi="Times New Roman" w:cs="Times New Roman"/>
          <w:sz w:val="24"/>
          <w:szCs w:val="24"/>
          <w:lang w:val="pl-PL"/>
        </w:rPr>
        <w:t xml:space="preserve">Fulcrum Publishing, Golden, Colorado.  </w:t>
      </w:r>
    </w:p>
    <w:p w14:paraId="22A5AADA" w14:textId="77777777" w:rsidR="00552E6F" w:rsidRPr="00552E6F" w:rsidRDefault="00552E6F" w:rsidP="0042072B">
      <w:pPr>
        <w:spacing w:after="0" w:line="240" w:lineRule="auto"/>
        <w:jc w:val="both"/>
        <w:rPr>
          <w:rFonts w:ascii="Times New Roman" w:eastAsia="Calibri" w:hAnsi="Times New Roman" w:cs="Times New Roman"/>
          <w:sz w:val="24"/>
          <w:szCs w:val="24"/>
          <w:lang w:val="pl-PL"/>
        </w:rPr>
      </w:pPr>
    </w:p>
    <w:p w14:paraId="48982744" w14:textId="77777777" w:rsidR="00552E6F" w:rsidRPr="00552E6F" w:rsidRDefault="00552E6F" w:rsidP="0042072B">
      <w:pPr>
        <w:spacing w:after="0" w:line="240" w:lineRule="auto"/>
        <w:jc w:val="both"/>
        <w:rPr>
          <w:rFonts w:ascii="Times New Roman" w:eastAsia="Calibri" w:hAnsi="Times New Roman" w:cs="Times New Roman"/>
          <w:sz w:val="24"/>
          <w:szCs w:val="24"/>
          <w:lang w:val="pl-PL"/>
        </w:rPr>
      </w:pPr>
      <w:r w:rsidRPr="00552E6F">
        <w:rPr>
          <w:rFonts w:ascii="Times New Roman" w:eastAsia="Calibri" w:hAnsi="Times New Roman" w:cs="Times New Roman"/>
          <w:sz w:val="24"/>
          <w:szCs w:val="24"/>
          <w:lang w:val="pl-PL"/>
        </w:rPr>
        <w:t xml:space="preserve">3. Kuś M. 2018. Tam, gdzie można doświadczyć przyrody [w:] Pociask M. Człowiek vs Przyroda na </w:t>
      </w:r>
    </w:p>
    <w:p w14:paraId="10272CC7" w14:textId="77777777" w:rsidR="00552E6F" w:rsidRPr="00552E6F" w:rsidRDefault="00552E6F" w:rsidP="0042072B">
      <w:pPr>
        <w:spacing w:after="0" w:line="240" w:lineRule="auto"/>
        <w:jc w:val="both"/>
        <w:rPr>
          <w:rFonts w:ascii="Times New Roman" w:eastAsia="Calibri" w:hAnsi="Times New Roman" w:cs="Times New Roman"/>
          <w:sz w:val="24"/>
          <w:szCs w:val="24"/>
          <w:lang w:val="pl-PL"/>
        </w:rPr>
      </w:pPr>
      <w:r w:rsidRPr="00552E6F">
        <w:rPr>
          <w:rFonts w:ascii="Times New Roman" w:eastAsia="Calibri" w:hAnsi="Times New Roman" w:cs="Times New Roman"/>
          <w:sz w:val="24"/>
          <w:szCs w:val="24"/>
          <w:lang w:val="pl-PL"/>
        </w:rPr>
        <w:t>obszarach chronionych w województwie podkarpackim. Stowarzyszenie ProCarpathia, Rzeszów.</w:t>
      </w:r>
    </w:p>
    <w:p w14:paraId="49ED964C" w14:textId="77777777" w:rsidR="00552E6F" w:rsidRPr="00552E6F" w:rsidRDefault="00552E6F" w:rsidP="0042072B">
      <w:pPr>
        <w:spacing w:after="0" w:line="240" w:lineRule="auto"/>
        <w:jc w:val="both"/>
        <w:rPr>
          <w:rFonts w:ascii="Times New Roman" w:eastAsia="Calibri" w:hAnsi="Times New Roman" w:cs="Times New Roman"/>
          <w:sz w:val="24"/>
          <w:szCs w:val="24"/>
          <w:lang w:val="pl-PL"/>
        </w:rPr>
      </w:pPr>
    </w:p>
    <w:p w14:paraId="3AABD0CE"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pl-PL"/>
        </w:rPr>
        <w:t xml:space="preserve">4. Interpret Europe. </w:t>
      </w:r>
      <w:r w:rsidRPr="00552E6F">
        <w:rPr>
          <w:rFonts w:ascii="Times New Roman" w:eastAsia="Calibri" w:hAnsi="Times New Roman" w:cs="Times New Roman"/>
          <w:sz w:val="24"/>
          <w:szCs w:val="24"/>
          <w:lang w:val="en-US"/>
        </w:rPr>
        <w:t xml:space="preserve">2016. Engaging your visitors: Guidelines for achieving excellence in heritage </w:t>
      </w:r>
    </w:p>
    <w:p w14:paraId="6C763797"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en-US"/>
        </w:rPr>
        <w:t>interpretation. Witzenhausen: Interpret Europe.</w:t>
      </w:r>
    </w:p>
    <w:p w14:paraId="0E3F8402"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35B806C9" w14:textId="77777777" w:rsidR="00552E6F" w:rsidRPr="00552E6F" w:rsidRDefault="00552E6F" w:rsidP="0042072B">
      <w:pPr>
        <w:spacing w:after="0" w:line="240" w:lineRule="auto"/>
        <w:jc w:val="both"/>
        <w:rPr>
          <w:rFonts w:ascii="Times New Roman" w:eastAsia="Calibri" w:hAnsi="Times New Roman" w:cs="Times New Roman"/>
          <w:sz w:val="24"/>
          <w:szCs w:val="24"/>
          <w:lang w:val="de-DE"/>
        </w:rPr>
      </w:pPr>
      <w:r w:rsidRPr="00552E6F">
        <w:rPr>
          <w:rFonts w:ascii="Times New Roman" w:eastAsia="Calibri" w:hAnsi="Times New Roman" w:cs="Times New Roman"/>
          <w:sz w:val="24"/>
          <w:szCs w:val="24"/>
          <w:lang w:val="en-US"/>
        </w:rPr>
        <w:t xml:space="preserve">5. Ludwig T. 2015. the Interpretive Guide – Sharing Heritage with People. </w:t>
      </w:r>
      <w:r w:rsidRPr="00552E6F">
        <w:rPr>
          <w:rFonts w:ascii="Times New Roman" w:eastAsia="Calibri" w:hAnsi="Times New Roman" w:cs="Times New Roman"/>
          <w:sz w:val="24"/>
          <w:szCs w:val="24"/>
          <w:lang w:val="de-DE"/>
        </w:rPr>
        <w:t>Bildungswerk interpretation, Werleshausen.</w:t>
      </w:r>
    </w:p>
    <w:p w14:paraId="6FE9207D" w14:textId="77777777" w:rsidR="00552E6F" w:rsidRPr="00552E6F" w:rsidRDefault="00552E6F" w:rsidP="0042072B">
      <w:pPr>
        <w:spacing w:after="0" w:line="240" w:lineRule="auto"/>
        <w:jc w:val="both"/>
        <w:rPr>
          <w:rFonts w:ascii="Times New Roman" w:eastAsia="Calibri" w:hAnsi="Times New Roman" w:cs="Times New Roman"/>
          <w:sz w:val="24"/>
          <w:szCs w:val="24"/>
          <w:lang w:val="de-DE"/>
        </w:rPr>
      </w:pPr>
    </w:p>
    <w:p w14:paraId="5D904296" w14:textId="6F0E4C4A"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de-DE"/>
        </w:rPr>
        <w:lastRenderedPageBreak/>
        <w:t xml:space="preserve">6. Olko J., Hędrzak M., Cent J., Subel A. 2011. </w:t>
      </w:r>
      <w:r w:rsidRPr="00552E6F">
        <w:rPr>
          <w:rFonts w:ascii="Times New Roman" w:eastAsia="Calibri" w:hAnsi="Times New Roman" w:cs="Times New Roman"/>
          <w:sz w:val="24"/>
          <w:szCs w:val="24"/>
          <w:lang w:val="en-US"/>
        </w:rPr>
        <w:t>Cooperation In The Polish National Parks And Their Neighbourhood In A View Of Different Stakeholders – A Long Way Ahead? Innovation: The European Journal of Social Science Research24(3): 335-352.</w:t>
      </w:r>
    </w:p>
    <w:p w14:paraId="025752FB"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6B171C88" w14:textId="1291A407"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en-US"/>
        </w:rPr>
        <w:t>7. Muir 1871 [w:] Wolfe L. 1978. The Life of John Muir. Madison: The University of Wisconsin Press.</w:t>
      </w:r>
    </w:p>
    <w:p w14:paraId="70AE73D5"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6F9EAED5" w14:textId="784E5ECE"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en-US"/>
        </w:rPr>
        <w:t>8. Tilden F. 1957. Interpreting Our Heritage. Chapel Hill: The University of North Carolina Press.</w:t>
      </w:r>
    </w:p>
    <w:p w14:paraId="35A61658"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3FB3F646" w14:textId="719802DD" w:rsidR="00552E6F" w:rsidRPr="00552E6F" w:rsidRDefault="00552E6F" w:rsidP="0042072B">
      <w:pPr>
        <w:spacing w:after="0" w:line="240" w:lineRule="auto"/>
        <w:jc w:val="both"/>
        <w:rPr>
          <w:rFonts w:ascii="Times New Roman" w:eastAsia="Calibri" w:hAnsi="Times New Roman" w:cs="Times New Roman"/>
          <w:sz w:val="24"/>
          <w:szCs w:val="24"/>
          <w:lang w:val="en-US"/>
        </w:rPr>
      </w:pPr>
      <w:r w:rsidRPr="00552E6F">
        <w:rPr>
          <w:rFonts w:ascii="Times New Roman" w:eastAsia="Calibri" w:hAnsi="Times New Roman" w:cs="Times New Roman"/>
          <w:sz w:val="24"/>
          <w:szCs w:val="24"/>
          <w:lang w:val="en-US"/>
        </w:rPr>
        <w:t xml:space="preserve">9. </w:t>
      </w:r>
      <w:r w:rsidRPr="00552E6F">
        <w:rPr>
          <w:rFonts w:ascii="Times New Roman" w:eastAsia="Calibri" w:hAnsi="Times New Roman" w:cs="Times New Roman"/>
          <w:iCs/>
          <w:sz w:val="24"/>
          <w:szCs w:val="24"/>
          <w:lang w:val="en-US"/>
        </w:rPr>
        <w:t>Wirth, C. 1953. Securing Protection and Conservation Objectives Through Interpretation. Unpublished memorandum. Washington: US Department of the Interior.</w:t>
      </w:r>
    </w:p>
    <w:p w14:paraId="75FBC021" w14:textId="77777777" w:rsidR="00552E6F" w:rsidRPr="00552E6F" w:rsidRDefault="00552E6F" w:rsidP="0042072B">
      <w:pPr>
        <w:spacing w:after="0" w:line="240" w:lineRule="auto"/>
        <w:jc w:val="both"/>
        <w:rPr>
          <w:rFonts w:ascii="Times New Roman" w:eastAsia="Calibri" w:hAnsi="Times New Roman" w:cs="Times New Roman"/>
          <w:sz w:val="24"/>
          <w:szCs w:val="24"/>
          <w:lang w:val="en-US"/>
        </w:rPr>
      </w:pPr>
    </w:p>
    <w:p w14:paraId="4AE600FA" w14:textId="77777777" w:rsidR="00552E6F" w:rsidRPr="0042072B" w:rsidRDefault="00552E6F" w:rsidP="0042072B">
      <w:pPr>
        <w:ind w:firstLine="720"/>
        <w:jc w:val="both"/>
        <w:rPr>
          <w:rFonts w:ascii="Times New Roman" w:hAnsi="Times New Roman" w:cs="Times New Roman"/>
          <w:sz w:val="24"/>
          <w:szCs w:val="24"/>
          <w:lang w:val="pl-PL"/>
        </w:rPr>
      </w:pPr>
    </w:p>
    <w:sectPr w:rsidR="00552E6F" w:rsidRPr="0042072B" w:rsidSect="002F4D35">
      <w:pgSz w:w="10319" w:h="14572" w:code="13"/>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D43285" w14:textId="77777777" w:rsidR="00107A25" w:rsidRDefault="00107A25" w:rsidP="00552E6F">
      <w:pPr>
        <w:spacing w:after="0" w:line="240" w:lineRule="auto"/>
      </w:pPr>
      <w:r>
        <w:separator/>
      </w:r>
    </w:p>
  </w:endnote>
  <w:endnote w:type="continuationSeparator" w:id="0">
    <w:p w14:paraId="319C9D03" w14:textId="77777777" w:rsidR="00107A25" w:rsidRDefault="00107A25" w:rsidP="00552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60CCE1" w14:textId="77777777" w:rsidR="00107A25" w:rsidRDefault="00107A25" w:rsidP="00552E6F">
      <w:pPr>
        <w:spacing w:after="0" w:line="240" w:lineRule="auto"/>
      </w:pPr>
      <w:r>
        <w:separator/>
      </w:r>
    </w:p>
  </w:footnote>
  <w:footnote w:type="continuationSeparator" w:id="0">
    <w:p w14:paraId="0977E0B8" w14:textId="77777777" w:rsidR="00107A25" w:rsidRDefault="00107A25" w:rsidP="00552E6F">
      <w:pPr>
        <w:spacing w:after="0" w:line="240" w:lineRule="auto"/>
      </w:pPr>
      <w:r>
        <w:continuationSeparator/>
      </w:r>
    </w:p>
  </w:footnote>
  <w:footnote w:id="1">
    <w:p w14:paraId="0EC525B7" w14:textId="77777777" w:rsidR="00552E6F" w:rsidRDefault="00552E6F" w:rsidP="00552E6F">
      <w:pPr>
        <w:pStyle w:val="a3"/>
      </w:pPr>
      <w:r w:rsidRPr="001300C6">
        <w:rPr>
          <w:rStyle w:val="a5"/>
          <w:rFonts w:ascii="Times New Roman" w:hAnsi="Times New Roman"/>
          <w:sz w:val="18"/>
          <w:szCs w:val="18"/>
        </w:rPr>
        <w:footnoteRef/>
      </w:r>
      <w:r w:rsidRPr="001300C6">
        <w:rPr>
          <w:rFonts w:ascii="Times New Roman" w:hAnsi="Times New Roman"/>
          <w:sz w:val="18"/>
          <w:szCs w:val="18"/>
          <w:lang w:val="en-US"/>
        </w:rPr>
        <w:t xml:space="preserve"> Muir </w:t>
      </w:r>
      <w:r>
        <w:rPr>
          <w:rFonts w:ascii="Times New Roman" w:hAnsi="Times New Roman"/>
          <w:sz w:val="18"/>
          <w:szCs w:val="18"/>
          <w:lang w:val="en-US"/>
        </w:rPr>
        <w:t xml:space="preserve">1871 [w] Wolfe L. 1978. </w:t>
      </w:r>
      <w:r w:rsidRPr="001300C6">
        <w:rPr>
          <w:rFonts w:ascii="Times New Roman" w:hAnsi="Times New Roman"/>
          <w:sz w:val="18"/>
          <w:szCs w:val="18"/>
          <w:lang w:val="en-US"/>
        </w:rPr>
        <w:t xml:space="preserve">The Life of John Muir. </w:t>
      </w:r>
      <w:smartTag w:uri="urn:schemas-microsoft-com:office:smarttags" w:element="City">
        <w:r w:rsidRPr="001300C6">
          <w:rPr>
            <w:rFonts w:ascii="Times New Roman" w:hAnsi="Times New Roman"/>
            <w:sz w:val="18"/>
            <w:szCs w:val="18"/>
            <w:lang w:val="en-US"/>
          </w:rPr>
          <w:t>Madison</w:t>
        </w:r>
      </w:smartTag>
      <w:r w:rsidRPr="001300C6">
        <w:rPr>
          <w:rFonts w:ascii="Times New Roman" w:hAnsi="Times New Roman"/>
          <w:sz w:val="18"/>
          <w:szCs w:val="18"/>
          <w:lang w:val="en-US"/>
        </w:rPr>
        <w:t xml:space="preserve">: The </w:t>
      </w:r>
      <w:smartTag w:uri="urn:schemas-microsoft-com:office:smarttags" w:element="PlaceType">
        <w:smartTag w:uri="urn:schemas-microsoft-com:office:smarttags" w:element="place">
          <w:r w:rsidRPr="001300C6">
            <w:rPr>
              <w:rFonts w:ascii="Times New Roman" w:hAnsi="Times New Roman"/>
              <w:sz w:val="18"/>
              <w:szCs w:val="18"/>
              <w:lang w:val="en-US"/>
            </w:rPr>
            <w:t>University</w:t>
          </w:r>
        </w:smartTag>
        <w:r w:rsidRPr="001300C6">
          <w:rPr>
            <w:rFonts w:ascii="Times New Roman" w:hAnsi="Times New Roman"/>
            <w:sz w:val="18"/>
            <w:szCs w:val="18"/>
            <w:lang w:val="en-US"/>
          </w:rPr>
          <w:t xml:space="preserve"> of </w:t>
        </w:r>
        <w:smartTag w:uri="urn:schemas-microsoft-com:office:smarttags" w:element="PlaceName">
          <w:r w:rsidRPr="001300C6">
            <w:rPr>
              <w:rFonts w:ascii="Times New Roman" w:hAnsi="Times New Roman"/>
              <w:sz w:val="18"/>
              <w:szCs w:val="18"/>
              <w:lang w:val="en-US"/>
            </w:rPr>
            <w:t>Wisconsin</w:t>
          </w:r>
        </w:smartTag>
      </w:smartTag>
      <w:r>
        <w:rPr>
          <w:rFonts w:ascii="Times New Roman" w:hAnsi="Times New Roman"/>
          <w:sz w:val="18"/>
          <w:szCs w:val="18"/>
          <w:lang w:val="en-US"/>
        </w:rPr>
        <w:t xml:space="preserve"> Press.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11B"/>
    <w:rsid w:val="00107A25"/>
    <w:rsid w:val="00214196"/>
    <w:rsid w:val="002A28BB"/>
    <w:rsid w:val="002F4D35"/>
    <w:rsid w:val="0042072B"/>
    <w:rsid w:val="0051611B"/>
    <w:rsid w:val="00552E6F"/>
    <w:rsid w:val="00934FFF"/>
    <w:rsid w:val="00996821"/>
    <w:rsid w:val="00A810FA"/>
    <w:rsid w:val="00B32109"/>
    <w:rsid w:val="00BB3611"/>
    <w:rsid w:val="00C3449A"/>
    <w:rsid w:val="00D5075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7E097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552E6F"/>
    <w:pPr>
      <w:spacing w:after="0" w:line="240" w:lineRule="auto"/>
    </w:pPr>
    <w:rPr>
      <w:rFonts w:ascii="Calibri" w:eastAsia="Calibri" w:hAnsi="Calibri" w:cs="Times New Roman"/>
      <w:sz w:val="20"/>
      <w:szCs w:val="20"/>
      <w:lang w:val="pl-PL"/>
    </w:rPr>
  </w:style>
  <w:style w:type="character" w:customStyle="1" w:styleId="a4">
    <w:name w:val="Текст виноски Знак"/>
    <w:basedOn w:val="a0"/>
    <w:link w:val="a3"/>
    <w:uiPriority w:val="99"/>
    <w:semiHidden/>
    <w:rsid w:val="00552E6F"/>
    <w:rPr>
      <w:rFonts w:ascii="Calibri" w:eastAsia="Calibri" w:hAnsi="Calibri" w:cs="Times New Roman"/>
      <w:sz w:val="20"/>
      <w:szCs w:val="20"/>
      <w:lang w:val="pl-PL"/>
    </w:rPr>
  </w:style>
  <w:style w:type="character" w:styleId="a5">
    <w:name w:val="footnote reference"/>
    <w:basedOn w:val="a0"/>
    <w:uiPriority w:val="99"/>
    <w:semiHidden/>
    <w:rsid w:val="00552E6F"/>
    <w:rPr>
      <w:rFonts w:cs="Times New Roman"/>
      <w:vertAlign w:val="superscript"/>
    </w:rPr>
  </w:style>
  <w:style w:type="paragraph" w:styleId="a6">
    <w:name w:val="Balloon Text"/>
    <w:basedOn w:val="a"/>
    <w:link w:val="a7"/>
    <w:uiPriority w:val="99"/>
    <w:semiHidden/>
    <w:unhideWhenUsed/>
    <w:rsid w:val="00B32109"/>
    <w:pPr>
      <w:spacing w:after="0" w:line="240" w:lineRule="auto"/>
    </w:pPr>
    <w:rPr>
      <w:rFonts w:ascii="Tahoma" w:hAnsi="Tahoma" w:cs="Tahoma"/>
      <w:sz w:val="16"/>
      <w:szCs w:val="16"/>
    </w:rPr>
  </w:style>
  <w:style w:type="character" w:customStyle="1" w:styleId="a7">
    <w:name w:val="Текст у виносці Знак"/>
    <w:basedOn w:val="a0"/>
    <w:link w:val="a6"/>
    <w:uiPriority w:val="99"/>
    <w:semiHidden/>
    <w:rsid w:val="00B321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552E6F"/>
    <w:pPr>
      <w:spacing w:after="0" w:line="240" w:lineRule="auto"/>
    </w:pPr>
    <w:rPr>
      <w:rFonts w:ascii="Calibri" w:eastAsia="Calibri" w:hAnsi="Calibri" w:cs="Times New Roman"/>
      <w:sz w:val="20"/>
      <w:szCs w:val="20"/>
      <w:lang w:val="pl-PL"/>
    </w:rPr>
  </w:style>
  <w:style w:type="character" w:customStyle="1" w:styleId="a4">
    <w:name w:val="Текст виноски Знак"/>
    <w:basedOn w:val="a0"/>
    <w:link w:val="a3"/>
    <w:uiPriority w:val="99"/>
    <w:semiHidden/>
    <w:rsid w:val="00552E6F"/>
    <w:rPr>
      <w:rFonts w:ascii="Calibri" w:eastAsia="Calibri" w:hAnsi="Calibri" w:cs="Times New Roman"/>
      <w:sz w:val="20"/>
      <w:szCs w:val="20"/>
      <w:lang w:val="pl-PL"/>
    </w:rPr>
  </w:style>
  <w:style w:type="character" w:styleId="a5">
    <w:name w:val="footnote reference"/>
    <w:basedOn w:val="a0"/>
    <w:uiPriority w:val="99"/>
    <w:semiHidden/>
    <w:rsid w:val="00552E6F"/>
    <w:rPr>
      <w:rFonts w:cs="Times New Roman"/>
      <w:vertAlign w:val="superscript"/>
    </w:rPr>
  </w:style>
  <w:style w:type="paragraph" w:styleId="a6">
    <w:name w:val="Balloon Text"/>
    <w:basedOn w:val="a"/>
    <w:link w:val="a7"/>
    <w:uiPriority w:val="99"/>
    <w:semiHidden/>
    <w:unhideWhenUsed/>
    <w:rsid w:val="00B32109"/>
    <w:pPr>
      <w:spacing w:after="0" w:line="240" w:lineRule="auto"/>
    </w:pPr>
    <w:rPr>
      <w:rFonts w:ascii="Tahoma" w:hAnsi="Tahoma" w:cs="Tahoma"/>
      <w:sz w:val="16"/>
      <w:szCs w:val="16"/>
    </w:rPr>
  </w:style>
  <w:style w:type="character" w:customStyle="1" w:styleId="a7">
    <w:name w:val="Текст у виносці Знак"/>
    <w:basedOn w:val="a0"/>
    <w:link w:val="a6"/>
    <w:uiPriority w:val="99"/>
    <w:semiHidden/>
    <w:rsid w:val="00B321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cotinterpnet.org.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3524</Words>
  <Characters>2009</Characters>
  <Application>Microsoft Office Word</Application>
  <DocSecurity>0</DocSecurity>
  <Lines>16</Lines>
  <Paragraphs>11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Ігор Каспрук</cp:lastModifiedBy>
  <cp:revision>2</cp:revision>
  <dcterms:created xsi:type="dcterms:W3CDTF">2020-07-15T10:33:00Z</dcterms:created>
  <dcterms:modified xsi:type="dcterms:W3CDTF">2020-07-15T10:33:00Z</dcterms:modified>
</cp:coreProperties>
</file>